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1260F4">
        <w:tc>
          <w:tcPr>
            <w:tcW w:w="9708" w:type="dxa"/>
          </w:tcPr>
          <w:p w:rsidR="001260F4" w:rsidRDefault="00AA161C">
            <w:pPr>
              <w:pStyle w:val="Text"/>
              <w:tabs>
                <w:tab w:val="left" w:pos="804"/>
                <w:tab w:val="left" w:pos="1020"/>
              </w:tabs>
              <w:spacing w:before="60" w:after="60"/>
            </w:pPr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rFonts w:ascii="Helvetica-Black" w:hAnsi="Helvetica-Black"/>
                <w:sz w:val="28"/>
              </w:rPr>
              <w:tab/>
              <w:t>•</w:t>
            </w:r>
            <w:r>
              <w:rPr>
                <w:rFonts w:ascii="Helvetica-Black" w:hAnsi="Helvetica-Black"/>
                <w:sz w:val="28"/>
              </w:rPr>
              <w:tab/>
            </w:r>
            <w:r>
              <w:t>Use this page to review the main points of Unit 2, Optics.</w:t>
            </w:r>
          </w:p>
        </w:tc>
      </w:tr>
    </w:tbl>
    <w:p w:rsidR="001260F4" w:rsidRDefault="00AA161C">
      <w:pPr>
        <w:pStyle w:val="H1"/>
        <w:spacing w:before="200"/>
        <w:ind w:left="1512" w:hanging="1512"/>
      </w:pPr>
      <w:r>
        <w:t>Chapter 5</w:t>
      </w:r>
      <w:r>
        <w:t> </w:t>
      </w:r>
      <w:r>
        <w:t>Optical systems make use of mirrors and lenses.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Ray diagrams help explain how beams of light travel in straight lines and how various materials can be opaque, translucent, or transparent. (5.1)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Mirrors reflect light according to the law of reflection, which states that the angle of incidence equals the angle of reflection. (5.1)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Light rays bend when they pass between two materials of different density. (5.1)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Simple mirrors can be plane (flat), convex (curving out), or concave (curving in). (5.2)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The image formed by a concave mirror depends on the distance of the object from the mirror. (5.2)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Convex mirrors form images that are upright and smaller than the object. (5.2)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Concave lenses are thinner in the middle than at the edge and diverge light rays. (5.3)</w:t>
      </w:r>
    </w:p>
    <w:p w:rsidR="001260F4" w:rsidRDefault="00AA161C">
      <w:pPr>
        <w:pStyle w:val="BL"/>
        <w:ind w:left="260" w:hanging="260"/>
      </w:pPr>
      <w:r>
        <w:rPr>
          <w:sz w:val="20"/>
        </w:rPr>
        <w:sym w:font="Wingdings" w:char="F06E"/>
      </w:r>
      <w:r>
        <w:rPr>
          <w:sz w:val="18"/>
        </w:rPr>
        <w:tab/>
      </w:r>
      <w:r>
        <w:t>Convex lenses are thicker in the middle than at the edge and converge light rays. (5.3)</w:t>
      </w:r>
    </w:p>
    <w:p w:rsidR="00D32C21" w:rsidRDefault="00D32C21">
      <w:pPr>
        <w:pStyle w:val="BL"/>
        <w:ind w:left="260" w:hanging="260"/>
      </w:pPr>
    </w:p>
    <w:p w:rsidR="005E5B14" w:rsidRDefault="005E5B14">
      <w:pPr>
        <w:pStyle w:val="BL"/>
        <w:ind w:left="260" w:hanging="260"/>
      </w:pPr>
    </w:p>
    <w:p w:rsidR="00D32C21" w:rsidRDefault="00D32C21">
      <w:pPr>
        <w:pStyle w:val="BL"/>
        <w:ind w:left="260" w:hanging="260"/>
      </w:pPr>
      <w:r w:rsidRPr="00D32C21">
        <w:rPr>
          <w:b/>
          <w:u w:val="single"/>
        </w:rPr>
        <w:t>Chapter 5:</w:t>
      </w:r>
      <w:r>
        <w:t xml:space="preserve"> Key terms</w:t>
      </w:r>
    </w:p>
    <w:p w:rsidR="005E5B14" w:rsidRDefault="005E5B14">
      <w:pPr>
        <w:pStyle w:val="BL"/>
        <w:ind w:left="260" w:hanging="260"/>
      </w:pPr>
    </w:p>
    <w:p w:rsidR="00D32C21" w:rsidRDefault="00D32C21">
      <w:pPr>
        <w:pStyle w:val="BL"/>
        <w:ind w:left="260" w:hanging="260"/>
      </w:pP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3148"/>
        <w:gridCol w:w="3158"/>
        <w:gridCol w:w="3158"/>
      </w:tblGrid>
      <w:tr w:rsidR="00823916" w:rsidTr="00823916">
        <w:trPr>
          <w:trHeight w:val="521"/>
        </w:trPr>
        <w:tc>
          <w:tcPr>
            <w:tcW w:w="3316" w:type="dxa"/>
          </w:tcPr>
          <w:p w:rsidR="00DC6708" w:rsidRDefault="00DC6708" w:rsidP="00DC6708">
            <w:pPr>
              <w:pStyle w:val="BL"/>
              <w:ind w:left="260" w:hanging="260"/>
              <w:jc w:val="center"/>
            </w:pPr>
          </w:p>
          <w:p w:rsidR="00823916" w:rsidRDefault="00823916" w:rsidP="00DC6708">
            <w:pPr>
              <w:pStyle w:val="BL"/>
              <w:ind w:left="260" w:hanging="260"/>
              <w:jc w:val="center"/>
            </w:pPr>
            <w:r>
              <w:t>(5.1) Vocabulary</w:t>
            </w:r>
          </w:p>
        </w:tc>
        <w:tc>
          <w:tcPr>
            <w:tcW w:w="3317" w:type="dxa"/>
          </w:tcPr>
          <w:p w:rsidR="00DC6708" w:rsidRDefault="00DC6708" w:rsidP="00DC6708">
            <w:pPr>
              <w:pStyle w:val="BL"/>
              <w:ind w:left="260" w:hanging="260"/>
              <w:jc w:val="center"/>
            </w:pPr>
          </w:p>
          <w:p w:rsidR="00823916" w:rsidRDefault="00823916" w:rsidP="00DC6708">
            <w:pPr>
              <w:pStyle w:val="BL"/>
              <w:ind w:left="260" w:hanging="260"/>
              <w:jc w:val="center"/>
            </w:pPr>
            <w:r>
              <w:t>(5.2 Vocabulary)</w:t>
            </w:r>
          </w:p>
          <w:p w:rsidR="00823916" w:rsidRDefault="00823916" w:rsidP="00DC6708">
            <w:pPr>
              <w:pStyle w:val="BL"/>
              <w:ind w:left="0" w:firstLine="0"/>
              <w:jc w:val="center"/>
            </w:pPr>
          </w:p>
        </w:tc>
        <w:tc>
          <w:tcPr>
            <w:tcW w:w="3317" w:type="dxa"/>
          </w:tcPr>
          <w:p w:rsidR="00DC6708" w:rsidRDefault="00DC6708" w:rsidP="00DC6708">
            <w:pPr>
              <w:pStyle w:val="BL"/>
              <w:ind w:left="260" w:hanging="260"/>
              <w:jc w:val="center"/>
            </w:pPr>
          </w:p>
          <w:p w:rsidR="00823916" w:rsidRDefault="00823916" w:rsidP="00DC6708">
            <w:pPr>
              <w:pStyle w:val="BL"/>
              <w:ind w:left="260" w:hanging="260"/>
              <w:jc w:val="center"/>
            </w:pPr>
            <w:r>
              <w:t>(5.3 Vocabulary)</w:t>
            </w:r>
          </w:p>
          <w:p w:rsidR="00823916" w:rsidRDefault="00823916" w:rsidP="00DC6708">
            <w:pPr>
              <w:pStyle w:val="BL"/>
              <w:ind w:left="0" w:firstLine="0"/>
              <w:jc w:val="center"/>
            </w:pPr>
          </w:p>
        </w:tc>
      </w:tr>
      <w:tr w:rsidR="00823916" w:rsidTr="00823916">
        <w:tc>
          <w:tcPr>
            <w:tcW w:w="3316" w:type="dxa"/>
          </w:tcPr>
          <w:p w:rsidR="00823916" w:rsidRDefault="00823916" w:rsidP="00823916">
            <w:pPr>
              <w:pStyle w:val="BL"/>
              <w:ind w:left="260" w:hanging="260"/>
            </w:pPr>
            <w:bookmarkStart w:id="0" w:name="_GoBack" w:colFirst="1" w:colLast="1"/>
          </w:p>
          <w:p w:rsidR="00823916" w:rsidRDefault="00823916" w:rsidP="00823916">
            <w:pPr>
              <w:pStyle w:val="BL"/>
              <w:ind w:left="260" w:hanging="260"/>
            </w:pPr>
            <w:r>
              <w:t>Particle model of light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Ray model of light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Transparent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Translucent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Opaque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Incident ray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Reflected ray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Normal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Angle of incidence</w:t>
            </w:r>
            <w:r w:rsidR="00C01247">
              <w:t xml:space="preserve"> ( </w:t>
            </w:r>
            <w:proofErr w:type="spellStart"/>
            <w:r w:rsidR="00C01247">
              <w:rPr>
                <w:i/>
              </w:rPr>
              <w:t>i</w:t>
            </w:r>
            <w:proofErr w:type="spellEnd"/>
            <w:r w:rsidR="00C01247">
              <w:rPr>
                <w:i/>
              </w:rPr>
              <w:t xml:space="preserve"> </w:t>
            </w:r>
            <w:r w:rsidR="00C01247">
              <w:t>)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Angle of reflection</w:t>
            </w:r>
            <w:r w:rsidR="00C01247">
              <w:t xml:space="preserve"> (</w:t>
            </w:r>
            <w:r w:rsidR="00C01247" w:rsidRPr="00C01247">
              <w:rPr>
                <w:i/>
              </w:rPr>
              <w:t xml:space="preserve"> r</w:t>
            </w:r>
            <w:r w:rsidR="00C01247">
              <w:t xml:space="preserve"> )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 xml:space="preserve">Law </w:t>
            </w:r>
            <w:r w:rsidR="00DC6708">
              <w:t>of refle</w:t>
            </w:r>
            <w:r>
              <w:t>ction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Angle of refraction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Mirage</w:t>
            </w:r>
          </w:p>
          <w:p w:rsidR="00823916" w:rsidRDefault="00823916" w:rsidP="00823916">
            <w:pPr>
              <w:pStyle w:val="BL"/>
              <w:ind w:left="260" w:hanging="260"/>
            </w:pPr>
          </w:p>
          <w:p w:rsidR="00823916" w:rsidRDefault="00823916">
            <w:pPr>
              <w:pStyle w:val="BL"/>
              <w:ind w:left="0" w:firstLine="0"/>
            </w:pPr>
          </w:p>
        </w:tc>
        <w:tc>
          <w:tcPr>
            <w:tcW w:w="3317" w:type="dxa"/>
          </w:tcPr>
          <w:p w:rsidR="00823916" w:rsidRDefault="00823916">
            <w:pPr>
              <w:pStyle w:val="BL"/>
              <w:ind w:left="0" w:firstLine="0"/>
            </w:pPr>
          </w:p>
          <w:p w:rsidR="00823916" w:rsidRDefault="00823916" w:rsidP="00823916">
            <w:pPr>
              <w:pStyle w:val="BL"/>
              <w:ind w:left="260" w:hanging="260"/>
            </w:pPr>
            <w:r>
              <w:t>Plane mirror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Concave mirror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Focal point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Converging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Convex mirror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 xml:space="preserve">Diverging </w:t>
            </w:r>
          </w:p>
          <w:p w:rsidR="00823916" w:rsidRDefault="00823916">
            <w:pPr>
              <w:pStyle w:val="BL"/>
              <w:ind w:left="0" w:firstLine="0"/>
            </w:pPr>
          </w:p>
        </w:tc>
        <w:tc>
          <w:tcPr>
            <w:tcW w:w="3317" w:type="dxa"/>
          </w:tcPr>
          <w:p w:rsidR="00823916" w:rsidRDefault="00823916" w:rsidP="00823916">
            <w:pPr>
              <w:pStyle w:val="BL"/>
              <w:ind w:left="260" w:hanging="260"/>
            </w:pPr>
          </w:p>
          <w:p w:rsidR="00823916" w:rsidRDefault="00823916" w:rsidP="00823916">
            <w:pPr>
              <w:pStyle w:val="BL"/>
              <w:ind w:left="260" w:hanging="260"/>
            </w:pPr>
            <w:r>
              <w:t>Lens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Concave lenses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Convex lenses</w:t>
            </w:r>
          </w:p>
          <w:p w:rsidR="00823916" w:rsidRDefault="00823916" w:rsidP="00823916">
            <w:pPr>
              <w:pStyle w:val="BL"/>
              <w:ind w:left="260" w:hanging="260"/>
            </w:pPr>
            <w:r>
              <w:t>Focal length</w:t>
            </w:r>
          </w:p>
          <w:p w:rsidR="00823916" w:rsidRDefault="00823916">
            <w:pPr>
              <w:pStyle w:val="BL"/>
              <w:ind w:left="0" w:firstLine="0"/>
            </w:pPr>
          </w:p>
        </w:tc>
      </w:tr>
      <w:bookmarkEnd w:id="0"/>
    </w:tbl>
    <w:p w:rsidR="00823916" w:rsidRDefault="00823916">
      <w:pPr>
        <w:pStyle w:val="BL"/>
        <w:ind w:left="260" w:hanging="260"/>
      </w:pPr>
    </w:p>
    <w:p w:rsidR="00823916" w:rsidRDefault="00823916">
      <w:pPr>
        <w:pStyle w:val="BL"/>
        <w:ind w:left="260" w:hanging="260"/>
      </w:pPr>
    </w:p>
    <w:p w:rsidR="00823916" w:rsidRDefault="00823916">
      <w:pPr>
        <w:pStyle w:val="BL"/>
        <w:ind w:left="260" w:hanging="260"/>
      </w:pPr>
    </w:p>
    <w:p w:rsidR="00823916" w:rsidRDefault="00823916">
      <w:pPr>
        <w:pStyle w:val="BL"/>
        <w:ind w:left="260" w:hanging="260"/>
      </w:pPr>
    </w:p>
    <w:p w:rsidR="00823916" w:rsidRDefault="00823916">
      <w:pPr>
        <w:pStyle w:val="BL"/>
        <w:ind w:left="260" w:hanging="260"/>
      </w:pPr>
    </w:p>
    <w:p w:rsidR="00823916" w:rsidRDefault="00823916">
      <w:pPr>
        <w:pStyle w:val="BL"/>
        <w:ind w:left="260" w:hanging="260"/>
      </w:pPr>
    </w:p>
    <w:sectPr w:rsidR="0082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066" w:bottom="576" w:left="1440" w:header="70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D4" w:rsidRDefault="007A0BD4">
      <w:r>
        <w:separator/>
      </w:r>
    </w:p>
  </w:endnote>
  <w:endnote w:type="continuationSeparator" w:id="0">
    <w:p w:rsidR="007A0BD4" w:rsidRDefault="007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1260F4">
    <w:pPr>
      <w:pStyle w:val="Copy"/>
    </w:pPr>
  </w:p>
  <w:p w:rsidR="001260F4" w:rsidRDefault="00AA161C">
    <w:pPr>
      <w:pStyle w:val="Footer"/>
      <w:framePr w:w="302" w:wrap="around" w:vAnchor="text" w:hAnchor="page" w:x="1040" w:y="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708">
      <w:rPr>
        <w:rStyle w:val="PageNumber"/>
        <w:noProof/>
      </w:rPr>
      <w:t>2</w:t>
    </w:r>
    <w:r>
      <w:rPr>
        <w:rStyle w:val="PageNumber"/>
      </w:rPr>
      <w:fldChar w:fldCharType="end"/>
    </w:r>
  </w:p>
  <w:p w:rsidR="001260F4" w:rsidRDefault="00AA161C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1260F4">
    <w:pPr>
      <w:pStyle w:val="Copy"/>
      <w:ind w:right="360"/>
    </w:pPr>
  </w:p>
  <w:p w:rsidR="001260F4" w:rsidRDefault="00AA161C">
    <w:pPr>
      <w:pStyle w:val="Footer"/>
      <w:framePr w:w="179" w:wrap="around" w:vAnchor="text" w:hAnchor="page" w:x="11062" w:y="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260F4" w:rsidRDefault="00AA161C">
    <w:pPr>
      <w:pStyle w:val="Copy"/>
    </w:pPr>
    <w:r>
      <w:t xml:space="preserve">Copyright © 2001,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1260F4">
    <w:pPr>
      <w:pStyle w:val="Copy"/>
    </w:pPr>
  </w:p>
  <w:p w:rsidR="001260F4" w:rsidRDefault="00AA161C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D4" w:rsidRDefault="007A0BD4">
      <w:r>
        <w:separator/>
      </w:r>
    </w:p>
  </w:footnote>
  <w:footnote w:type="continuationSeparator" w:id="0">
    <w:p w:rsidR="007A0BD4" w:rsidRDefault="007A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AA161C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1260F4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1260F4" w:rsidRDefault="00AA161C">
          <w:pPr>
            <w:pStyle w:val="BLM"/>
            <w:ind w:hanging="20"/>
          </w:pPr>
          <w:r>
            <w:t>BLM 3-11</w:t>
          </w:r>
        </w:p>
        <w:p w:rsidR="001260F4" w:rsidRDefault="00AA161C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1260F4" w:rsidRDefault="001260F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AA161C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1260F4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1260F4" w:rsidRDefault="00AA161C">
          <w:pPr>
            <w:pStyle w:val="BLM"/>
            <w:ind w:hanging="20"/>
          </w:pPr>
          <w:r>
            <w:t>BLM 3-11</w:t>
          </w:r>
        </w:p>
        <w:p w:rsidR="001260F4" w:rsidRDefault="00AA161C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1260F4" w:rsidRDefault="001260F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F4" w:rsidRDefault="00AA161C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1260F4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1260F4" w:rsidRDefault="00AA161C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unit 2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1260F4" w:rsidRDefault="00AA161C">
          <w:pPr>
            <w:pStyle w:val="Title1"/>
            <w:spacing w:before="40"/>
          </w:pPr>
          <w:r>
            <w:rPr>
              <w:position w:val="12"/>
            </w:rPr>
            <w:t>Unit 2 Summary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1260F4" w:rsidRDefault="00AA161C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</w:t>
          </w:r>
        </w:p>
      </w:tc>
    </w:tr>
    <w:tr w:rsidR="001260F4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60F4" w:rsidRDefault="00AA161C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1260F4" w:rsidRDefault="001260F4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1260F4" w:rsidRDefault="001260F4">
          <w:pPr>
            <w:ind w:left="42"/>
            <w:rPr>
              <w:b/>
              <w:sz w:val="24"/>
            </w:rPr>
          </w:pPr>
        </w:p>
      </w:tc>
    </w:tr>
  </w:tbl>
  <w:p w:rsidR="001260F4" w:rsidRDefault="001260F4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D0E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785B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305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E2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F6FA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486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7C00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5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CB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21"/>
    <w:rsid w:val="001260F4"/>
    <w:rsid w:val="005E5B14"/>
    <w:rsid w:val="007A0BD4"/>
    <w:rsid w:val="00823916"/>
    <w:rsid w:val="00AA161C"/>
    <w:rsid w:val="00C01247"/>
    <w:rsid w:val="00D32C21"/>
    <w:rsid w:val="00DC6708"/>
    <w:rsid w:val="00E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BD0B1-7426-4BD8-96A8-44D107A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table" w:styleId="TableGrid">
    <w:name w:val="Table Grid"/>
    <w:basedOn w:val="TableNormal"/>
    <w:uiPriority w:val="39"/>
    <w:rsid w:val="0082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templae-right.dot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dc:description/>
  <cp:lastModifiedBy>Sondra Chou</cp:lastModifiedBy>
  <cp:revision>4</cp:revision>
  <cp:lastPrinted>2006-07-29T19:13:00Z</cp:lastPrinted>
  <dcterms:created xsi:type="dcterms:W3CDTF">2017-01-14T19:39:00Z</dcterms:created>
  <dcterms:modified xsi:type="dcterms:W3CDTF">2017-01-14T22:57:00Z</dcterms:modified>
</cp:coreProperties>
</file>